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1208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86MS0005-01-2025-004002-58</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02 июл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судебного участка</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Зверева Константина Сергеевича</w:t>
      </w:r>
      <w:r>
        <w:rPr>
          <w:rFonts w:ascii="Times New Roman" w:eastAsia="Times New Roman" w:hAnsi="Times New Roman" w:cs="Times New Roman"/>
          <w:sz w:val="27"/>
          <w:szCs w:val="27"/>
        </w:rPr>
        <w:t xml:space="preserve">, </w:t>
      </w:r>
      <w:r>
        <w:rPr>
          <w:rStyle w:val="cat-UserDefinedgrp-41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2rplc-1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Зверев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Fonts w:ascii="Times New Roman" w:eastAsia="Times New Roman" w:hAnsi="Times New Roman" w:cs="Times New Roman"/>
          <w:sz w:val="27"/>
          <w:szCs w:val="27"/>
        </w:rPr>
        <w:t>Шевроле Эпика</w:t>
      </w:r>
      <w:r>
        <w:rPr>
          <w:rFonts w:ascii="Times New Roman" w:eastAsia="Times New Roman" w:hAnsi="Times New Roman" w:cs="Times New Roman"/>
          <w:sz w:val="27"/>
          <w:szCs w:val="27"/>
        </w:rPr>
        <w:t xml:space="preserve">, </w:t>
      </w:r>
      <w:r>
        <w:rPr>
          <w:rStyle w:val="cat-CarNumbergrp-26rplc-20"/>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впереди</w:t>
      </w:r>
      <w:r>
        <w:rPr>
          <w:rFonts w:ascii="Times New Roman" w:eastAsia="Times New Roman" w:hAnsi="Times New Roman" w:cs="Times New Roman"/>
          <w:sz w:val="27"/>
          <w:szCs w:val="27"/>
        </w:rPr>
        <w:t xml:space="preserve"> движуще</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ся транспортно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Камаз</w:t>
      </w:r>
      <w:r>
        <w:rPr>
          <w:rFonts w:ascii="Times New Roman" w:eastAsia="Times New Roman" w:hAnsi="Times New Roman" w:cs="Times New Roman"/>
          <w:sz w:val="27"/>
          <w:szCs w:val="27"/>
        </w:rPr>
        <w:t xml:space="preserve"> </w:t>
      </w:r>
      <w:r>
        <w:rPr>
          <w:rStyle w:val="cat-CarNumbergrp-27rplc-22"/>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 последующим возвращением на ранее занимаемую полосу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Зверев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04.05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16.05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Зверева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Зверева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25.06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Зверев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ходатайств не заявлял, вину в совершении правонарушения признал.</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Зверева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692739</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04.05</w:t>
      </w:r>
      <w:r>
        <w:rPr>
          <w:rFonts w:ascii="Times New Roman" w:eastAsia="Times New Roman" w:hAnsi="Times New Roman" w:cs="Times New Roman"/>
          <w:sz w:val="27"/>
          <w:szCs w:val="27"/>
        </w:rPr>
        <w:t>.2025;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04.05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ОВ</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идео</w:t>
      </w:r>
      <w:r>
        <w:rPr>
          <w:rFonts w:ascii="Times New Roman" w:eastAsia="Times New Roman" w:hAnsi="Times New Roman" w:cs="Times New Roman"/>
          <w:sz w:val="27"/>
          <w:szCs w:val="27"/>
        </w:rPr>
        <w:t>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Зверева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Зверева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Зверев К.С</w:t>
      </w:r>
      <w:r>
        <w:rPr>
          <w:rFonts w:ascii="Times New Roman" w:eastAsia="Times New Roman" w:hAnsi="Times New Roman" w:cs="Times New Roman"/>
          <w:sz w:val="27"/>
          <w:szCs w:val="27"/>
        </w:rPr>
        <w:t>.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Зверева К.С.</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Зверева Константина Сергеевича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730008087</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w:t>
      </w:r>
      <w:r>
        <w:rPr>
          <w:rFonts w:ascii="Times New Roman" w:eastAsia="Times New Roman" w:hAnsi="Times New Roman" w:cs="Times New Roman"/>
          <w:sz w:val="27"/>
          <w:szCs w:val="27"/>
        </w:rPr>
        <w:t>ть на электронный адрес: Surgut6</w:t>
      </w:r>
      <w:r>
        <w:rPr>
          <w:rFonts w:ascii="Times New Roman" w:eastAsia="Times New Roman" w:hAnsi="Times New Roman" w:cs="Times New Roman"/>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w:t>
      </w:r>
      <w:r>
        <w:rPr>
          <w:rFonts w:ascii="Times New Roman" w:eastAsia="Times New Roman" w:hAnsi="Times New Roman" w:cs="Times New Roman"/>
          <w:sz w:val="20"/>
          <w:szCs w:val="20"/>
        </w:rPr>
        <w:t xml:space="preserve"> судья</w:t>
      </w:r>
      <w:r>
        <w:rPr>
          <w:rFonts w:ascii="Times New Roman" w:eastAsia="Times New Roman" w:hAnsi="Times New Roman" w:cs="Times New Roman"/>
          <w:sz w:val="20"/>
          <w:szCs w:val="20"/>
        </w:rPr>
        <w:t xml:space="preserve"> судебного участка №</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1208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10">
    <w:name w:val="cat-UserDefined grp-41 rplc-10"/>
    <w:basedOn w:val="DefaultParagraphFont"/>
  </w:style>
  <w:style w:type="character" w:customStyle="1" w:styleId="cat-UserDefinedgrp-42rplc-16">
    <w:name w:val="cat-UserDefined grp-42 rplc-16"/>
    <w:basedOn w:val="DefaultParagraphFont"/>
  </w:style>
  <w:style w:type="character" w:customStyle="1" w:styleId="cat-CarNumbergrp-26rplc-20">
    <w:name w:val="cat-CarNumber grp-26 rplc-20"/>
    <w:basedOn w:val="DefaultParagraphFont"/>
  </w:style>
  <w:style w:type="character" w:customStyle="1" w:styleId="cat-CarNumbergrp-27rplc-22">
    <w:name w:val="cat-CarNumber grp-27 rplc-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